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pPr>
        <w:spacing w:line="480" w:lineRule="auto"/>
        <w:ind w:left="420" w:firstLine="420" w:leftChars="0" w:firstLineChars="0"/>
        <w:jc w:val="center"/>
        <w:rPr>
          <w:rFonts w:ascii="Times New Roman" w:hAnsi="Times New Roman" w:cs="Times New Roman" w:hint="default"/>
          <w:sz w:val="24"/>
          <w:szCs w:val="24"/>
          <w:lang w:val="en-US"/>
        </w:rPr>
      </w:pPr>
    </w:p>
    <w:p>
      <w:pPr>
        <w:spacing w:line="480" w:lineRule="auto"/>
        <w:ind w:left="420" w:firstLine="420" w:leftChars="0" w:firstLineChars="0"/>
        <w:jc w:val="center"/>
        <w:rPr>
          <w:rFonts w:ascii="Times New Roman" w:hAnsi="Times New Roman" w:cs="Times New Roman" w:hint="default"/>
          <w:sz w:val="24"/>
          <w:szCs w:val="24"/>
          <w:lang w:val="en-US"/>
        </w:rPr>
      </w:pPr>
    </w:p>
    <w:p>
      <w:pPr>
        <w:spacing w:line="480" w:lineRule="auto"/>
        <w:ind w:left="420" w:firstLine="420" w:leftChars="0" w:firstLineChars="0"/>
        <w:jc w:val="center"/>
        <w:rPr>
          <w:rFonts w:ascii="Times New Roman" w:hAnsi="Times New Roman" w:cs="Times New Roman" w:hint="default"/>
          <w:sz w:val="24"/>
          <w:szCs w:val="24"/>
          <w:lang w:val="en-US"/>
        </w:rPr>
      </w:pPr>
      <w:r>
        <w:rPr>
          <w:rFonts w:ascii="Times New Roman" w:hAnsi="Times New Roman" w:cs="Times New Roman" w:hint="default"/>
          <w:sz w:val="24"/>
          <w:szCs w:val="24"/>
          <w:lang w:val="en-US"/>
        </w:rPr>
        <w:t>Title:</w:t>
      </w:r>
    </w:p>
    <w:p>
      <w:pPr>
        <w:spacing w:line="480" w:lineRule="auto"/>
        <w:ind w:left="420" w:firstLine="420" w:leftChars="0" w:firstLineChars="0"/>
        <w:jc w:val="center"/>
        <w:rPr>
          <w:rFonts w:ascii="Times New Roman" w:hAnsi="Times New Roman" w:cs="Times New Roman" w:hint="default"/>
          <w:sz w:val="24"/>
          <w:szCs w:val="24"/>
          <w:lang w:val="en-US"/>
        </w:rPr>
      </w:pPr>
    </w:p>
    <w:p>
      <w:pPr>
        <w:spacing w:line="480" w:lineRule="auto"/>
        <w:ind w:left="420" w:firstLine="420" w:leftChars="0" w:firstLineChars="0"/>
        <w:jc w:val="center"/>
        <w:rPr>
          <w:rFonts w:ascii="Times New Roman" w:hAnsi="Times New Roman" w:cs="Times New Roman" w:hint="default"/>
          <w:sz w:val="24"/>
          <w:szCs w:val="24"/>
          <w:lang w:val="en-US"/>
        </w:rPr>
      </w:pPr>
      <w:r>
        <w:rPr>
          <w:rFonts w:ascii="Times New Roman" w:hAnsi="Times New Roman" w:cs="Times New Roman" w:hint="default"/>
          <w:sz w:val="24"/>
          <w:szCs w:val="24"/>
          <w:lang w:val="en-US"/>
        </w:rPr>
        <w:t>Name:</w:t>
      </w:r>
    </w:p>
    <w:p>
      <w:pPr>
        <w:spacing w:line="480" w:lineRule="auto"/>
        <w:ind w:left="420" w:firstLine="420" w:leftChars="0" w:firstLineChars="0"/>
        <w:jc w:val="center"/>
        <w:rPr>
          <w:rFonts w:ascii="Times New Roman" w:hAnsi="Times New Roman" w:cs="Times New Roman" w:hint="default"/>
          <w:sz w:val="24"/>
          <w:szCs w:val="24"/>
          <w:lang w:val="en-US"/>
        </w:rPr>
      </w:pPr>
    </w:p>
    <w:p>
      <w:pPr>
        <w:spacing w:line="480" w:lineRule="auto"/>
        <w:ind w:left="420" w:firstLine="420" w:leftChars="0" w:firstLineChars="0"/>
        <w:jc w:val="center"/>
        <w:rPr>
          <w:rFonts w:ascii="Times New Roman" w:hAnsi="Times New Roman" w:cs="Times New Roman" w:hint="default"/>
          <w:sz w:val="24"/>
          <w:szCs w:val="24"/>
          <w:lang w:val="en-US"/>
        </w:rPr>
        <w:sectPr>
          <w:headerReference w:type="default" r:id="rId5"/>
          <w:headerReference w:type="first" r:id="rId6"/>
          <w:pgSz w:w="11906" w:h="16838"/>
          <w:pgMar w:top="1440" w:right="1440" w:bottom="1440" w:left="1440" w:header="720" w:footer="720" w:gutter="0"/>
          <w:pgNumType w:fmt="decimal"/>
          <w:cols w:num="1" w:space="720"/>
          <w:titlePg/>
          <w:docGrid w:linePitch="360" w:charSpace="0"/>
        </w:sectPr>
      </w:pPr>
      <w:r>
        <w:rPr>
          <w:rFonts w:ascii="Times New Roman" w:hAnsi="Times New Roman" w:cs="Times New Roman" w:hint="default"/>
          <w:sz w:val="24"/>
          <w:szCs w:val="24"/>
          <w:lang w:val="en-US"/>
        </w:rPr>
        <w:t>Institutional Affiliation:</w:t>
      </w:r>
    </w:p>
    <w:p>
      <w:pPr>
        <w:spacing w:line="480" w:lineRule="auto"/>
        <w:ind w:left="420" w:firstLine="420" w:leftChars="0" w:firstLineChars="0"/>
        <w:jc w:val="center"/>
        <w:rPr>
          <w:rFonts w:ascii="Times New Roman" w:hAnsi="Times New Roman" w:cs="Times New Roman" w:hint="default"/>
          <w:sz w:val="24"/>
          <w:szCs w:val="24"/>
          <w:lang w:val="en-US"/>
        </w:rPr>
      </w:pPr>
      <w:r>
        <w:rPr>
          <w:rFonts w:ascii="Times New Roman" w:hAnsi="Times New Roman" w:cs="Times New Roman" w:hint="default"/>
          <w:sz w:val="24"/>
          <w:szCs w:val="24"/>
          <w:lang w:val="en-US"/>
        </w:rPr>
        <w:t>Abstract.</w:t>
      </w:r>
    </w:p>
    <w:p>
      <w:pPr>
        <w:spacing w:line="480" w:lineRule="auto"/>
        <w:ind w:firstLine="420" w:firstLineChars="0"/>
        <w:jc w:val="both"/>
        <w:rPr>
          <w:rFonts w:ascii="Times New Roman" w:hAnsi="Times New Roman" w:cs="Times New Roman" w:hint="default"/>
          <w:sz w:val="24"/>
          <w:szCs w:val="24"/>
          <w:lang w:val="en-US"/>
        </w:rPr>
      </w:pPr>
      <w:r>
        <w:rPr>
          <w:rFonts w:ascii="Times New Roman" w:hAnsi="Times New Roman" w:cs="Times New Roman" w:hint="default"/>
          <w:sz w:val="24"/>
          <w:szCs w:val="24"/>
          <w:lang w:val="en-US"/>
        </w:rPr>
        <w:t>This paper aims at reviews the relationship between Civilian Review Boards and Ethical Oversight in the American Criminal Justice System. In the recent past, American Law enforcement agencies have been accused of racial bias and excessive use of forces. One of the ways that have been advocated to curb this menace has been the use of Civilian Review Boards. This paper aims at reviewing chapters 13 and 14 of Criminal Justice and Ethics by Cindy Banks with an aim of establishing ethical principles and theories that could solve the conundrum of Civilian Review Boards role.
</w:t>
      </w:r>
    </w:p>
    <w:p>
      <w:pPr>
        <w:spacing w:line="480" w:lineRule="auto"/>
        <w:ind w:firstLine="420" w:firstLineChars="0"/>
        <w:jc w:val="both"/>
        <w:rPr>
          <w:rFonts w:ascii="Times New Roman" w:hAnsi="Times New Roman" w:cs="Times New Roman" w:hint="default"/>
          <w:sz w:val="24"/>
          <w:szCs w:val="24"/>
          <w:lang w:val="en-US"/>
        </w:rPr>
      </w:pPr>
      <w:bookmarkStart w:id="0" w:name="_GoBack"/>
      <w:bookmarkEnd w:id="0"/>
      <w:r>
        <w:rPr>
          <w:rFonts w:ascii="Times New Roman" w:hAnsi="Times New Roman" w:cs="Times New Roman" w:hint="default"/>
          <w:sz w:val="24"/>
          <w:szCs w:val="24"/>
          <w:lang w:val="en-US"/>
        </w:rPr>
        <w:t>The paper begins by providing background information concerning the history and operations of police brutality and the advent of civilian boards. The paper further delves into the different types of Civilian Review Boards found in the USA today. The paper continues to evaluate the application practices advocated by Ms. Banks in her book and concludes by providing responsible stewardship guidelines for Civilian Oversight Practitioners.
</w:t>
      </w:r>
    </w:p>
    <w:p>
      <w:pPr>
        <w:spacing w:line="480" w:lineRule="auto"/>
        <w:ind w:left="420" w:firstLine="420" w:leftChars="0" w:firstLineChars="0"/>
        <w:rPr>
          <w:rFonts w:ascii="Times New Roman" w:hAnsi="Times New Roman" w:cs="Times New Roman" w:hint="default"/>
          <w:sz w:val="24"/>
          <w:szCs w:val="24"/>
          <w:lang w:val="en-US"/>
        </w:rPr>
      </w:pPr>
      <w:r>
        <w:rPr>
          <w:rFonts w:ascii="Times New Roman" w:hAnsi="Times New Roman" w:cs="Times New Roman" w:hint="default"/>
          <w:sz w:val="24"/>
          <w:szCs w:val="24"/>
          <w:lang w:val="en-US"/>
        </w:rPr>
        <w:t>Introduction.</w:t>
      </w:r>
    </w:p>
    <w:p>
      <w:pPr>
        <w:spacing w:line="480" w:lineRule="auto"/>
        <w:ind w:firstLine="420" w:firstLineChars="0"/>
        <w:rPr>
          <w:rFonts w:ascii="Times New Roman" w:hAnsi="Times New Roman" w:cs="Times New Roman" w:hint="default"/>
          <w:sz w:val="24"/>
          <w:szCs w:val="24"/>
          <w:lang w:val="en-US"/>
        </w:rPr>
      </w:pPr>
      <w:r>
        <w:rPr>
          <w:rFonts w:ascii="Times New Roman" w:hAnsi="Times New Roman" w:cs="Times New Roman" w:hint="default"/>
          <w:sz w:val="24"/>
          <w:szCs w:val="24"/>
          <w:lang w:val="en-US"/>
        </w:rPr>
        <w:t xml:space="preserve">Civilians Review Boards can be simply defined as a group of citizens who are charged with the mandate of reviewing and improving the conduct of law enforcement agencies/agents. Civilian Review Boards were largely formulated to ensure police accountability and provide unbiased opinions on law enforcement, </w:t>
      </w:r>
      <w:r>
        <w:rPr>
          <w:rFonts w:ascii="Times New Roman" w:hAnsi="Times New Roman" w:cs="Times New Roman"/>
          <w:sz w:val="24"/>
          <w:szCs w:val="24"/>
        </w:rPr>
        <w:t xml:space="preserve"> (</w:t>
      </w:r>
      <w:r>
        <w:rPr>
          <w:rFonts w:ascii="Times New Roman" w:eastAsia="Times New Roman" w:hAnsi="Times New Roman" w:cs="Times New Roman"/>
          <w:sz w:val="24"/>
          <w:szCs w:val="24"/>
        </w:rPr>
        <w:t>Helme, 2015</w:t>
      </w:r>
      <w:r>
        <w:rPr>
          <w:rFonts w:ascii="Times New Roman" w:hAnsi="Times New Roman" w:cs="Times New Roman"/>
          <w:sz w:val="24"/>
          <w:szCs w:val="24"/>
        </w:rPr>
        <w:t>)</w:t>
      </w:r>
      <w:r>
        <w:rPr>
          <w:rFonts w:ascii="Times New Roman" w:hAnsi="Times New Roman" w:cs="Times New Roman" w:hint="default"/>
          <w:sz w:val="24"/>
          <w:szCs w:val="24"/>
          <w:lang w:val="en-US"/>
        </w:rPr>
        <w:t>. The concept of civilian review has generated an array of opinions, raising moral and ethical concerns about their powers and abilities. This paper endeavors to analyze Civilian Review Boards while placing significant emphasis on ethical theories and principles.</w:t>
      </w:r>
    </w:p>
    <w:p>
      <w:pPr>
        <w:spacing w:line="480" w:lineRule="auto"/>
        <w:ind w:left="420" w:firstLine="420" w:leftChars="0" w:firstLineChars="0"/>
        <w:rPr>
          <w:rFonts w:ascii="Times New Roman" w:hAnsi="Times New Roman" w:cs="Times New Roman" w:hint="default"/>
          <w:sz w:val="24"/>
          <w:szCs w:val="24"/>
          <w:lang w:val="en-US"/>
        </w:rPr>
      </w:pPr>
      <w:r>
        <w:rPr>
          <w:rFonts w:ascii="Times New Roman" w:hAnsi="Times New Roman" w:cs="Times New Roman" w:hint="default"/>
          <w:sz w:val="24"/>
          <w:szCs w:val="24"/>
          <w:lang w:val="en-US"/>
        </w:rPr>
        <w:t>Background Information.</w:t>
      </w:r>
    </w:p>
    <w:p>
      <w:pPr>
        <w:spacing w:line="480" w:lineRule="auto"/>
        <w:ind w:firstLine="420" w:firstLineChars="0"/>
        <w:rPr>
          <w:rFonts w:ascii="Times New Roman" w:hAnsi="Times New Roman" w:cs="Times New Roman" w:hint="default"/>
          <w:sz w:val="24"/>
          <w:szCs w:val="24"/>
          <w:lang w:val="en-US"/>
        </w:rPr>
      </w:pPr>
      <w:r>
        <w:rPr>
          <w:rFonts w:ascii="Times New Roman" w:hAnsi="Times New Roman" w:cs="Times New Roman" w:hint="default"/>
          <w:sz w:val="24"/>
          <w:szCs w:val="24"/>
          <w:lang w:val="en-US"/>
        </w:rPr>
        <w:t>The period between the 1960s and the beginning of the 21</w:t>
      </w:r>
      <w:r>
        <w:rPr>
          <w:rFonts w:ascii="Times New Roman" w:hAnsi="Times New Roman" w:cs="Times New Roman" w:hint="default"/>
          <w:sz w:val="24"/>
          <w:szCs w:val="24"/>
          <w:vertAlign w:val="superscript"/>
          <w:lang w:val="en-US"/>
        </w:rPr>
        <w:t>st</w:t>
      </w:r>
      <w:r>
        <w:rPr>
          <w:rFonts w:ascii="Times New Roman" w:hAnsi="Times New Roman" w:cs="Times New Roman" w:hint="default"/>
          <w:sz w:val="24"/>
          <w:szCs w:val="24"/>
          <w:lang w:val="en-US"/>
        </w:rPr>
        <w:t xml:space="preserve"> century saw an upsurge in criminal and violent activities around major cities in the US. As result, many Americans advocated for increased police autonomy whereby law enforcement agencies are allowed wider discretion to perform their duties. More so the general populace agreed on increased incarceration for the purpose of punishment and deterrence, </w:t>
      </w:r>
      <w:r>
        <w:rPr>
          <w:rFonts w:ascii="Times New Roman" w:hAnsi="Times New Roman" w:cs="Times New Roman"/>
          <w:sz w:val="24"/>
          <w:szCs w:val="24"/>
        </w:rPr>
        <w:t>(Hsia, 2015)</w:t>
      </w:r>
      <w:r>
        <w:rPr>
          <w:rFonts w:ascii="Times New Roman" w:hAnsi="Times New Roman" w:cs="Times New Roman" w:hint="default"/>
          <w:sz w:val="24"/>
          <w:szCs w:val="24"/>
          <w:lang w:val="en-US"/>
        </w:rPr>
        <w:t xml:space="preserve">. </w:t>
      </w:r>
    </w:p>
    <w:p>
      <w:pPr>
        <w:spacing w:line="480" w:lineRule="auto"/>
        <w:ind w:firstLine="420" w:firstLineChars="0"/>
        <w:rPr>
          <w:rFonts w:ascii="Times New Roman" w:hAnsi="Times New Roman" w:cs="Times New Roman" w:hint="default"/>
          <w:sz w:val="24"/>
          <w:szCs w:val="24"/>
          <w:lang w:val="en-US"/>
        </w:rPr>
      </w:pPr>
      <w:r>
        <w:rPr>
          <w:rFonts w:ascii="Times New Roman" w:hAnsi="Times New Roman" w:cs="Times New Roman" w:hint="default"/>
          <w:sz w:val="24"/>
          <w:szCs w:val="24"/>
          <w:lang w:val="en-US"/>
        </w:rPr>
        <w:t xml:space="preserve">While the aforementioned measures were well-intentioned they ended up creating an equally large monster, a more militarized police force, </w:t>
      </w:r>
      <w:r>
        <w:rPr>
          <w:rFonts w:ascii="Times New Roman" w:hAnsi="Times New Roman" w:cs="Times New Roman"/>
          <w:sz w:val="24"/>
          <w:szCs w:val="24"/>
        </w:rPr>
        <w:t>(Hsia, 2015)</w:t>
      </w:r>
      <w:r>
        <w:rPr>
          <w:rFonts w:ascii="Times New Roman" w:hAnsi="Times New Roman" w:cs="Times New Roman" w:hint="default"/>
          <w:sz w:val="24"/>
          <w:szCs w:val="24"/>
          <w:lang w:val="en-US"/>
        </w:rPr>
        <w:t>. In addition to an oversized police force, there were ballooning correction budgets, increased incarceration, and mandatory sentencing. This trend has further grown in the recent past where law enforcement agencies have been faced with criticism of excessive use of force, bias and overall impunity.</w:t>
      </w:r>
    </w:p>
    <w:p>
      <w:pPr>
        <w:spacing w:line="480" w:lineRule="auto"/>
        <w:ind w:firstLine="420" w:firstLineChars="0"/>
        <w:rPr>
          <w:rFonts w:ascii="Times New Roman" w:eastAsia="SimSun" w:hAnsi="Times New Roman" w:cs="Times New Roman" w:hint="default"/>
          <w:sz w:val="24"/>
          <w:szCs w:val="24"/>
          <w:lang w:val="en-US"/>
        </w:rPr>
      </w:pPr>
      <w:r>
        <w:rPr>
          <w:rFonts w:ascii="Times New Roman" w:hAnsi="Times New Roman" w:cs="Times New Roman" w:hint="default"/>
          <w:sz w:val="24"/>
          <w:szCs w:val="24"/>
          <w:lang w:val="en-US"/>
        </w:rPr>
        <w:t xml:space="preserve">A survey by Pew Research indicates that only </w:t>
      </w:r>
      <w:r>
        <w:rPr>
          <w:rFonts w:ascii="Times New Roman" w:eastAsia="SimSun" w:hAnsi="Times New Roman" w:cs="Times New Roman" w:hint="default"/>
          <w:sz w:val="24"/>
          <w:szCs w:val="24"/>
        </w:rPr>
        <w:t>27% of police reported that poorly performing officers are held accountable</w:t>
      </w:r>
      <w:r>
        <w:rPr>
          <w:rFonts w:ascii="Times New Roman" w:eastAsia="SimSun" w:hAnsi="Times New Roman" w:cs="Times New Roman" w:hint="default"/>
          <w:sz w:val="24"/>
          <w:szCs w:val="24"/>
          <w:lang w:val="en-US"/>
        </w:rPr>
        <w:t>,</w:t>
      </w:r>
      <w:r>
        <w:rPr>
          <w:rFonts w:ascii="Times New Roman" w:hAnsi="Times New Roman" w:cs="Times New Roman"/>
          <w:sz w:val="24"/>
          <w:szCs w:val="24"/>
        </w:rPr>
        <w:t xml:space="preserve"> (Wilson, 2014)</w:t>
      </w:r>
      <w:r>
        <w:rPr>
          <w:rFonts w:ascii="Times New Roman" w:eastAsia="SimSun" w:hAnsi="Times New Roman" w:cs="Times New Roman" w:hint="default"/>
          <w:sz w:val="24"/>
          <w:szCs w:val="24"/>
          <w:lang w:val="en-US"/>
        </w:rPr>
        <w:t xml:space="preserve">. Police departments generally tend to be weak and biased when tending to complaints against officers. It is in this backdrop that Civilian Review Boards were adopted to act as independent adjudicators between the public and law enforcement agencies, </w:t>
      </w:r>
      <w:r>
        <w:rPr>
          <w:rFonts w:ascii="Times New Roman" w:hAnsi="Times New Roman" w:cs="Times New Roman"/>
          <w:sz w:val="24"/>
          <w:szCs w:val="24"/>
        </w:rPr>
        <w:t>(Hsia, 2015)</w:t>
      </w:r>
      <w:r>
        <w:rPr>
          <w:rFonts w:ascii="Times New Roman" w:eastAsia="SimSun" w:hAnsi="Times New Roman" w:cs="Times New Roman" w:hint="default"/>
          <w:sz w:val="24"/>
          <w:szCs w:val="24"/>
          <w:lang w:val="en-US"/>
        </w:rPr>
        <w:t>.</w:t>
      </w:r>
    </w:p>
    <w:p>
      <w:pPr>
        <w:spacing w:line="480" w:lineRule="auto"/>
        <w:ind w:firstLine="420" w:firstLineChars="0"/>
        <w:rPr>
          <w:rFonts w:ascii="Times New Roman" w:eastAsia="SimSun" w:hAnsi="Times New Roman" w:cs="Times New Roman" w:hint="default"/>
          <w:sz w:val="24"/>
          <w:szCs w:val="24"/>
          <w:lang w:val="en-US"/>
        </w:rPr>
      </w:pPr>
      <w:r>
        <w:rPr>
          <w:rFonts w:ascii="Times New Roman" w:eastAsia="SimSun" w:hAnsi="Times New Roman" w:cs="Times New Roman" w:hint="default"/>
          <w:sz w:val="24"/>
          <w:szCs w:val="24"/>
          <w:lang w:val="en-US"/>
        </w:rPr>
        <w:t>Types of Civilian Review Boards.</w:t>
      </w:r>
    </w:p>
    <w:p>
      <w:pPr>
        <w:spacing w:line="480" w:lineRule="auto"/>
        <w:ind w:firstLine="420" w:firstLineChars="0"/>
        <w:rPr>
          <w:rFonts w:ascii="Times New Roman" w:eastAsia="SimSun" w:hAnsi="Times New Roman" w:cs="Times New Roman" w:hint="default"/>
          <w:sz w:val="24"/>
          <w:szCs w:val="24"/>
          <w:lang w:val="en-US"/>
        </w:rPr>
      </w:pPr>
      <w:r>
        <w:rPr>
          <w:rFonts w:ascii="Times New Roman" w:eastAsia="SimSun" w:hAnsi="Times New Roman" w:cs="Times New Roman" w:hint="default"/>
          <w:sz w:val="24"/>
          <w:szCs w:val="24"/>
          <w:lang w:val="en-US"/>
        </w:rPr>
        <w:t xml:space="preserve">Civilian Review Boards can be classified into four major classes. In the first class, the whole process of review is under the discretion of the board. The board receives complaints about an officer, investigates and reports its finding and recommendation to the police Sherrif or Chief. The second class of oversight involves investigation and findings development by the police's internal department. The board is then responsible for reviewing the findings of the department and then recommends the finding to the police chief. In this setting the police chief is at liberty to either approve or reject the recommendations of the board, </w:t>
      </w:r>
      <w:r>
        <w:rPr>
          <w:rFonts w:ascii="Times New Roman" w:hAnsi="Times New Roman" w:cs="Times New Roman"/>
          <w:sz w:val="24"/>
          <w:szCs w:val="24"/>
        </w:rPr>
        <w:t>(</w:t>
      </w:r>
      <w:r>
        <w:rPr>
          <w:rFonts w:ascii="Times New Roman" w:eastAsia="Times New Roman" w:hAnsi="Times New Roman" w:cs="Times New Roman"/>
          <w:sz w:val="24"/>
          <w:szCs w:val="24"/>
        </w:rPr>
        <w:t>Helme</w:t>
      </w:r>
      <w:r>
        <w:rPr>
          <w:rFonts w:ascii="Times New Roman" w:eastAsia="Times New Roman" w:hAnsi="Times New Roman" w:cs="Times New Roman"/>
          <w:sz w:val="24"/>
          <w:szCs w:val="24"/>
          <w:lang w:val="en-US"/>
        </w:rPr>
        <w:t xml:space="preserve"> et.al</w:t>
      </w:r>
      <w:r>
        <w:rPr>
          <w:rFonts w:ascii="Times New Roman" w:eastAsia="Times New Roman" w:hAnsi="Times New Roman" w:cs="Times New Roman"/>
          <w:sz w:val="24"/>
          <w:szCs w:val="24"/>
        </w:rPr>
        <w:t>, 2015</w:t>
      </w:r>
      <w:r>
        <w:rPr>
          <w:rFonts w:ascii="Times New Roman" w:hAnsi="Times New Roman" w:cs="Times New Roman"/>
          <w:sz w:val="24"/>
          <w:szCs w:val="24"/>
        </w:rPr>
        <w:t>)</w:t>
      </w:r>
      <w:r>
        <w:rPr>
          <w:rFonts w:ascii="Times New Roman" w:eastAsia="SimSun" w:hAnsi="Times New Roman" w:cs="Times New Roman" w:hint="default"/>
          <w:sz w:val="24"/>
          <w:szCs w:val="24"/>
          <w:lang w:val="en-US"/>
        </w:rPr>
        <w:t>.</w:t>
      </w:r>
    </w:p>
    <w:p>
      <w:pPr>
        <w:spacing w:line="480" w:lineRule="auto"/>
        <w:ind w:firstLine="420" w:firstLineChars="0"/>
        <w:rPr>
          <w:rFonts w:ascii="Times New Roman" w:eastAsia="SimSun" w:hAnsi="Times New Roman" w:cs="Times New Roman" w:hint="default"/>
          <w:sz w:val="24"/>
          <w:szCs w:val="24"/>
          <w:lang w:val="en-US"/>
        </w:rPr>
      </w:pPr>
      <w:r>
        <w:rPr>
          <w:rFonts w:ascii="Times New Roman" w:eastAsia="SimSun" w:hAnsi="Times New Roman" w:cs="Times New Roman" w:hint="default"/>
          <w:sz w:val="24"/>
          <w:szCs w:val="24"/>
          <w:lang w:val="en-US"/>
        </w:rPr>
        <w:t xml:space="preserve">In the third class, complainants are allowed to appeal the findings of the police department to a civilian board. Upon deliberation of the appeal, the civilian board can either dismiss the appeals or recommend alternative conclusions. The fourth class of review board involves the use of a private investigator. The private investigators are responsible for investigating and delivering reports that are fair, objective and thorough, </w:t>
      </w:r>
      <w:r>
        <w:rPr>
          <w:rFonts w:ascii="Times New Roman" w:hAnsi="Times New Roman" w:cs="Times New Roman"/>
          <w:sz w:val="24"/>
          <w:szCs w:val="24"/>
        </w:rPr>
        <w:t>(Hsia, 2015)</w:t>
      </w:r>
      <w:r>
        <w:rPr>
          <w:rFonts w:ascii="Times New Roman" w:eastAsia="SimSun" w:hAnsi="Times New Roman" w:cs="Times New Roman" w:hint="default"/>
          <w:sz w:val="24"/>
          <w:szCs w:val="24"/>
          <w:lang w:val="en-US"/>
        </w:rPr>
        <w:t>.</w:t>
      </w:r>
    </w:p>
    <w:p>
      <w:pPr>
        <w:spacing w:line="480" w:lineRule="auto"/>
        <w:ind w:firstLine="420" w:firstLineChars="0"/>
        <w:rPr>
          <w:rFonts w:ascii="Times New Roman" w:eastAsia="SimSun" w:hAnsi="Times New Roman" w:cs="Times New Roman" w:hint="default"/>
          <w:sz w:val="24"/>
          <w:szCs w:val="24"/>
          <w:lang w:val="en-US"/>
        </w:rPr>
      </w:pPr>
      <w:r>
        <w:rPr>
          <w:rFonts w:ascii="Times New Roman" w:eastAsia="SimSun" w:hAnsi="Times New Roman" w:cs="Times New Roman" w:hint="default"/>
          <w:sz w:val="24"/>
          <w:szCs w:val="24"/>
          <w:lang w:val="en-US"/>
        </w:rPr>
        <w:t>Ethical Issues.</w:t>
      </w:r>
    </w:p>
    <w:p>
      <w:pPr>
        <w:spacing w:line="480" w:lineRule="auto"/>
        <w:rPr>
          <w:rFonts w:ascii="Times New Roman" w:eastAsia="SimSun" w:hAnsi="Times New Roman" w:cs="Times New Roman" w:hint="default"/>
          <w:sz w:val="24"/>
          <w:szCs w:val="24"/>
          <w:lang w:val="en-US"/>
        </w:rPr>
      </w:pPr>
      <w:r>
        <w:rPr>
          <w:rFonts w:ascii="Times New Roman" w:eastAsia="SimSun" w:hAnsi="Times New Roman" w:cs="Times New Roman" w:hint="default"/>
          <w:sz w:val="24"/>
          <w:szCs w:val="24"/>
          <w:lang w:val="en-US"/>
        </w:rPr>
        <w:t xml:space="preserve">One of the biggest criticism toward civilian oversight is that civilians cannot understand the actions of law enforcement officers and what drives them to perform certain actions. Critics argue that although Internal affairs are not faultless in their applications they remain to be the most appropriate means for resolving complaints since they understand better operations and workings of the police force. They argue that in some cases police officers have to make split-second decisions that are matter of life and death. Civilians who have not been able to encounter these intricacies may therefore no be able to understand the dynamics involved in the officer's decisions, </w:t>
      </w:r>
      <w:r>
        <w:rPr>
          <w:rFonts w:ascii="Times New Roman" w:hAnsi="Times New Roman" w:cs="Times New Roman"/>
          <w:sz w:val="24"/>
          <w:szCs w:val="24"/>
        </w:rPr>
        <w:t>(Hsia, 2015)</w:t>
      </w:r>
      <w:r>
        <w:rPr>
          <w:rFonts w:ascii="Times New Roman" w:eastAsia="SimSun" w:hAnsi="Times New Roman" w:cs="Times New Roman" w:hint="default"/>
          <w:sz w:val="24"/>
          <w:szCs w:val="24"/>
          <w:lang w:val="en-US"/>
        </w:rPr>
        <w:t xml:space="preserve">. </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sz w:val="24"/>
          <w:szCs w:val="24"/>
          <w:lang w:val="en-US"/>
        </w:rPr>
        <w:t xml:space="preserve">This criticism, therefore, begs the question, how do members of the civilian review board make a decision on such issues. In </w:t>
      </w:r>
      <w:r>
        <w:rPr>
          <w:rFonts w:ascii="Times New Roman" w:eastAsia="SimSun" w:hAnsi="Times New Roman" w:cs="Times New Roman" w:hint="default"/>
          <w:i/>
          <w:iCs/>
          <w:sz w:val="24"/>
          <w:szCs w:val="24"/>
          <w:lang w:val="en-US"/>
        </w:rPr>
        <w:t xml:space="preserve">Criminal Justice Ethics, </w:t>
      </w:r>
      <w:r>
        <w:rPr>
          <w:rFonts w:ascii="Times New Roman" w:eastAsia="SimSun" w:hAnsi="Times New Roman" w:cs="Times New Roman" w:hint="default"/>
          <w:i w:val="0"/>
          <w:iCs w:val="0"/>
          <w:sz w:val="24"/>
          <w:szCs w:val="24"/>
          <w:lang w:val="en-US"/>
        </w:rPr>
        <w:t xml:space="preserve">Cindy Banks advocates that investigators may apply two types of reasoning. First is the use utilitarian theory, whereby an action is evaluated against its consequences and not the intentions. In doing so the members must consider the implications of an action to the community, police department, complainants and the accused. The decision that produces the most benefits for all the parties should be adopted, </w:t>
      </w:r>
      <w:r>
        <w:rPr>
          <w:rFonts w:ascii="Times New Roman" w:hAnsi="Times New Roman" w:cs="Times New Roman"/>
          <w:sz w:val="24"/>
          <w:szCs w:val="24"/>
        </w:rPr>
        <w:t xml:space="preserve"> (Banks, 201</w:t>
      </w:r>
      <w:r>
        <w:rPr>
          <w:rFonts w:ascii="Times New Roman" w:hAnsi="Times New Roman" w:cs="Times New Roman"/>
          <w:sz w:val="24"/>
          <w:szCs w:val="24"/>
          <w:lang w:val="en-US"/>
        </w:rPr>
        <w:t>6</w:t>
      </w:r>
      <w:r>
        <w:rPr>
          <w:rFonts w:ascii="Times New Roman" w:hAnsi="Times New Roman" w:cs="Times New Roman"/>
          <w:sz w:val="24"/>
          <w:szCs w:val="24"/>
        </w:rPr>
        <w:t>)</w:t>
      </w:r>
      <w:r>
        <w:rPr>
          <w:rFonts w:ascii="Times New Roman" w:eastAsia="SimSun" w:hAnsi="Times New Roman" w:cs="Times New Roman" w:hint="default"/>
          <w:i w:val="0"/>
          <w:iCs w:val="0"/>
          <w:sz w:val="24"/>
          <w:szCs w:val="24"/>
          <w:lang w:val="en-US"/>
        </w:rPr>
        <w:t>.</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 xml:space="preserve">Banks further proposes that the board could adopt a virtue-based approach. In this approach, the board could adopt a stance based on a set of value that they believe is most appropriate for the stakeholders involved. Perhaps, the guiding principles should emanate from the constitution. If the actions/inaction of an individual contravenes the basic and fundamental rights outlined in the constitution then they are liable for their actions, </w:t>
      </w:r>
      <w:r>
        <w:rPr>
          <w:rFonts w:ascii="Times New Roman" w:hAnsi="Times New Roman" w:cs="Times New Roman"/>
          <w:sz w:val="24"/>
          <w:szCs w:val="24"/>
        </w:rPr>
        <w:t>(Banks, 201</w:t>
      </w:r>
      <w:r>
        <w:rPr>
          <w:rFonts w:ascii="Times New Roman" w:hAnsi="Times New Roman" w:cs="Times New Roman"/>
          <w:sz w:val="24"/>
          <w:szCs w:val="24"/>
          <w:lang w:val="en-US"/>
        </w:rPr>
        <w:t>6</w:t>
      </w:r>
      <w:r>
        <w:rPr>
          <w:rFonts w:ascii="Times New Roman" w:hAnsi="Times New Roman" w:cs="Times New Roman"/>
          <w:sz w:val="24"/>
          <w:szCs w:val="24"/>
        </w:rPr>
        <w:t>)</w:t>
      </w:r>
      <w:r>
        <w:rPr>
          <w:rFonts w:ascii="Times New Roman" w:eastAsia="SimSun" w:hAnsi="Times New Roman" w:cs="Times New Roman" w:hint="default"/>
          <w:i w:val="0"/>
          <w:iCs w:val="0"/>
          <w:sz w:val="24"/>
          <w:szCs w:val="24"/>
          <w:lang w:val="en-US"/>
        </w:rPr>
        <w:t>.</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 xml:space="preserve">In line with a need to establish consistency in operations, review boards are now moving away from individual cases towards developing general policies and recommendations. This will help in aligning the goals and objectives of the law enforcement agencies with local preferences. Going into the future civilian review boards will now be focused more on policies, procedure, and culture rather than individual complaints </w:t>
      </w:r>
      <w:r>
        <w:rPr>
          <w:rFonts w:ascii="Times New Roman" w:hAnsi="Times New Roman" w:cs="Times New Roman"/>
          <w:sz w:val="24"/>
          <w:szCs w:val="24"/>
        </w:rPr>
        <w:t>(</w:t>
      </w:r>
      <w:r>
        <w:rPr>
          <w:rFonts w:ascii="Times New Roman" w:eastAsia="Times New Roman" w:hAnsi="Times New Roman" w:cs="Times New Roman"/>
          <w:sz w:val="24"/>
          <w:szCs w:val="24"/>
        </w:rPr>
        <w:t>Helme, 2015</w:t>
      </w:r>
      <w:r>
        <w:rPr>
          <w:rFonts w:ascii="Times New Roman" w:hAnsi="Times New Roman" w:cs="Times New Roman"/>
          <w:sz w:val="24"/>
          <w:szCs w:val="24"/>
        </w:rPr>
        <w:t>)</w:t>
      </w:r>
      <w:r>
        <w:rPr>
          <w:rFonts w:ascii="Times New Roman" w:eastAsia="SimSun" w:hAnsi="Times New Roman" w:cs="Times New Roman" w:hint="default"/>
          <w:i w:val="0"/>
          <w:iCs w:val="0"/>
          <w:sz w:val="24"/>
          <w:szCs w:val="24"/>
          <w:lang w:val="en-US"/>
        </w:rPr>
        <w:t>.</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 xml:space="preserve">Banks advocates that one of the best approaches to developing expected patterns and behaviors is through the establishment of the golden mean. The golden mean is simply a desirable compromise between the extremes of deficiency and success, </w:t>
      </w:r>
      <w:r>
        <w:rPr>
          <w:rFonts w:ascii="Times New Roman" w:hAnsi="Times New Roman" w:cs="Times New Roman"/>
          <w:sz w:val="24"/>
          <w:szCs w:val="24"/>
        </w:rPr>
        <w:t>(Banks, 201</w:t>
      </w:r>
      <w:r>
        <w:rPr>
          <w:rFonts w:ascii="Times New Roman" w:hAnsi="Times New Roman" w:cs="Times New Roman"/>
          <w:sz w:val="24"/>
          <w:szCs w:val="24"/>
          <w:lang w:val="en-US"/>
        </w:rPr>
        <w:t>6</w:t>
      </w:r>
      <w:r>
        <w:rPr>
          <w:rFonts w:ascii="Times New Roman" w:hAnsi="Times New Roman" w:cs="Times New Roman"/>
          <w:sz w:val="24"/>
          <w:szCs w:val="24"/>
        </w:rPr>
        <w:t>)</w:t>
      </w:r>
      <w:r>
        <w:rPr>
          <w:rFonts w:ascii="Times New Roman" w:eastAsia="SimSun" w:hAnsi="Times New Roman" w:cs="Times New Roman" w:hint="default"/>
          <w:i w:val="0"/>
          <w:iCs w:val="0"/>
          <w:sz w:val="24"/>
          <w:szCs w:val="24"/>
          <w:lang w:val="en-US"/>
        </w:rPr>
        <w:t xml:space="preserve">. When making decisions about expected policies and procedure civilian review boards should consider both the community and the police force. These are the two extremes for police oversight, whereby the police force is of the opinion it should be left to self-regulate and the public who believe the police should be strictly regulated. When making decisions on policy these two sides must be put into consideration, </w:t>
      </w:r>
      <w:r>
        <w:rPr>
          <w:rFonts w:ascii="Times New Roman" w:hAnsi="Times New Roman" w:cs="Times New Roman"/>
          <w:sz w:val="24"/>
          <w:szCs w:val="24"/>
        </w:rPr>
        <w:t xml:space="preserve"> (Banks, 201</w:t>
      </w:r>
      <w:r>
        <w:rPr>
          <w:rFonts w:ascii="Times New Roman" w:hAnsi="Times New Roman" w:cs="Times New Roman"/>
          <w:sz w:val="24"/>
          <w:szCs w:val="24"/>
          <w:lang w:val="en-US"/>
        </w:rPr>
        <w:t>6</w:t>
      </w:r>
      <w:r>
        <w:rPr>
          <w:rFonts w:ascii="Times New Roman" w:hAnsi="Times New Roman" w:cs="Times New Roman"/>
          <w:sz w:val="24"/>
          <w:szCs w:val="24"/>
        </w:rPr>
        <w:t>)</w:t>
      </w:r>
      <w:r>
        <w:rPr>
          <w:rFonts w:ascii="Times New Roman" w:eastAsia="SimSun" w:hAnsi="Times New Roman" w:cs="Times New Roman" w:hint="default"/>
          <w:i w:val="0"/>
          <w:iCs w:val="0"/>
          <w:sz w:val="24"/>
          <w:szCs w:val="24"/>
          <w:lang w:val="en-US"/>
        </w:rPr>
        <w:t>.</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 xml:space="preserve">Oversight activities should also be conducted openly and transparently. However, the desire to ensure transparency should be tempered with a commitment to confidentiality to avoid disclosing information that could hinder law enforcement. The board is also expected to rise above bias and treat all stakeholders with maximum respect and regard, </w:t>
      </w:r>
      <w:r>
        <w:rPr>
          <w:rFonts w:ascii="Times New Roman" w:hAnsi="Times New Roman" w:cs="Times New Roman"/>
          <w:sz w:val="24"/>
          <w:szCs w:val="24"/>
        </w:rPr>
        <w:t>(Wilson, 2014)</w:t>
      </w:r>
      <w:r>
        <w:rPr>
          <w:rFonts w:ascii="Times New Roman" w:eastAsia="SimSun" w:hAnsi="Times New Roman" w:cs="Times New Roman" w:hint="default"/>
          <w:i w:val="0"/>
          <w:iCs w:val="0"/>
          <w:sz w:val="24"/>
          <w:szCs w:val="24"/>
          <w:lang w:val="en-US"/>
        </w:rPr>
        <w:t>.</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Responsible Stewardship</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 xml:space="preserve">Civilian oversight practitioners are charged with the obligation to promote public trust integrity and transparency. They should demonstrate the highest standard of integrity and dedication in order to inspire trust among stakeholders. They should be able to conduct investigations with objectivity and fairness, examining rigorously the accuracy and reliability of all the information they receive, </w:t>
      </w:r>
      <w:r>
        <w:rPr>
          <w:rFonts w:ascii="Times New Roman" w:hAnsi="Times New Roman" w:cs="Times New Roman" w:hint="default"/>
          <w:sz w:val="24"/>
          <w:szCs w:val="24"/>
        </w:rPr>
        <w:t>(Wilson, 2014)</w:t>
      </w:r>
      <w:r>
        <w:rPr>
          <w:rFonts w:ascii="Times New Roman" w:eastAsia="SimSun" w:hAnsi="Times New Roman" w:cs="Times New Roman" w:hint="default"/>
          <w:i w:val="0"/>
          <w:iCs w:val="0"/>
          <w:sz w:val="24"/>
          <w:szCs w:val="24"/>
          <w:lang w:val="en-US"/>
        </w:rPr>
        <w:t xml:space="preserve">. </w:t>
      </w:r>
      <w:r>
        <w:rPr>
          <w:rFonts w:ascii="Times New Roman" w:hAnsi="Times New Roman" w:cs="Times New Roman" w:hint="default"/>
          <w:sz w:val="24"/>
          <w:szCs w:val="24"/>
        </w:rPr>
        <w:t>criminal justice practitioner must be responsible steward</w:t>
      </w:r>
      <w:r>
        <w:rPr>
          <w:rFonts w:ascii="Times New Roman" w:hAnsi="Times New Roman" w:cs="Times New Roman" w:hint="default"/>
          <w:sz w:val="24"/>
          <w:szCs w:val="24"/>
          <w:lang w:val="en-US"/>
        </w:rPr>
        <w:t>s</w:t>
      </w:r>
      <w:r>
        <w:rPr>
          <w:rFonts w:ascii="Times New Roman" w:hAnsi="Times New Roman" w:cs="Times New Roman" w:hint="default"/>
          <w:sz w:val="24"/>
          <w:szCs w:val="24"/>
        </w:rPr>
        <w:t xml:space="preserve"> over the citizens that they protect, in</w:t>
      </w:r>
      <w:r>
        <w:rPr>
          <w:rFonts w:ascii="Times New Roman" w:hAnsi="Times New Roman" w:cs="Times New Roman" w:hint="default"/>
          <w:sz w:val="24"/>
          <w:szCs w:val="24"/>
          <w:lang w:val="en-US"/>
        </w:rPr>
        <w:t xml:space="preserve"> </w:t>
      </w:r>
      <w:r>
        <w:rPr>
          <w:rFonts w:ascii="Times New Roman" w:hAnsi="Times New Roman" w:cs="Times New Roman" w:hint="default"/>
          <w:sz w:val="24"/>
          <w:szCs w:val="24"/>
        </w:rPr>
        <w:t xml:space="preserve">whatever </w:t>
      </w:r>
      <w:r>
        <w:rPr>
          <w:rFonts w:ascii="Times New Roman" w:hAnsi="Times New Roman" w:cs="Times New Roman" w:hint="default"/>
          <w:sz w:val="24"/>
          <w:szCs w:val="24"/>
          <w:lang w:val="en-US"/>
        </w:rPr>
        <w:t>capacity they undertake.</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 xml:space="preserve"> Civilian oversight practitioners should endeavor to continually cross-examine their activities to gauge their effectiveness. Periodic review is also integral to ensuring substantive reforms. A practitioner should focus on continuous learning to enforce their knowledge and understanding of the justice system. Above all, the primary obligation for the board should be to protect and uphold the interest of the community, </w:t>
      </w:r>
      <w:r>
        <w:rPr>
          <w:rFonts w:ascii="Times New Roman" w:hAnsi="Times New Roman" w:cs="Times New Roman"/>
          <w:sz w:val="24"/>
          <w:szCs w:val="24"/>
        </w:rPr>
        <w:t>(</w:t>
      </w:r>
      <w:r>
        <w:rPr>
          <w:rFonts w:ascii="Times New Roman" w:eastAsia="Times New Roman" w:hAnsi="Times New Roman" w:cs="Times New Roman"/>
          <w:sz w:val="24"/>
          <w:szCs w:val="24"/>
        </w:rPr>
        <w:t>Helme, 2015</w:t>
      </w:r>
      <w:r>
        <w:rPr>
          <w:rFonts w:ascii="Times New Roman" w:hAnsi="Times New Roman" w:cs="Times New Roman"/>
          <w:sz w:val="24"/>
          <w:szCs w:val="24"/>
        </w:rPr>
        <w:t>)</w:t>
      </w:r>
      <w:r>
        <w:rPr>
          <w:rFonts w:ascii="Times New Roman" w:eastAsia="SimSun" w:hAnsi="Times New Roman" w:cs="Times New Roman" w:hint="default"/>
          <w:i w:val="0"/>
          <w:iCs w:val="0"/>
          <w:sz w:val="24"/>
          <w:szCs w:val="24"/>
          <w:lang w:val="en-US"/>
        </w:rPr>
        <w:t>.</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Conclusion.</w:t>
      </w:r>
    </w:p>
    <w:p>
      <w:pPr>
        <w:spacing w:line="480" w:lineRule="auto"/>
        <w:ind w:firstLine="420" w:firstLineChars="0"/>
        <w:rPr>
          <w:rFonts w:ascii="Times New Roman" w:eastAsia="SimSun" w:hAnsi="Times New Roman" w:cs="Times New Roman" w:hint="default"/>
          <w:i w:val="0"/>
          <w:iCs w:val="0"/>
          <w:sz w:val="24"/>
          <w:szCs w:val="24"/>
          <w:lang w:val="en-US"/>
        </w:rPr>
      </w:pPr>
      <w:r>
        <w:rPr>
          <w:rFonts w:ascii="Times New Roman" w:eastAsia="SimSun" w:hAnsi="Times New Roman" w:cs="Times New Roman" w:hint="default"/>
          <w:i w:val="0"/>
          <w:iCs w:val="0"/>
          <w:sz w:val="24"/>
          <w:szCs w:val="24"/>
          <w:lang w:val="en-US"/>
        </w:rPr>
        <w:t>Overall, this paper has clearly demonstrated that there exists a strong relationship between Civilian Review Boards and Ethical Oversight. With the correct ethical approach it is possible to enact Civilian Oversight Boards that are not only acceptable by the enforcement agencies and the community, but also help to guide police reforms.
</w:t>
      </w:r>
    </w:p>
    <w:p>
      <w:pPr>
        <w:spacing w:line="480" w:lineRule="auto"/>
        <w:ind w:firstLine="420" w:firstLineChars="0"/>
        <w:rPr>
          <w:rFonts w:ascii="Times New Roman" w:eastAsia="SimSun" w:hAnsi="Times New Roman" w:cs="Times New Roman" w:hint="default"/>
          <w:sz w:val="24"/>
          <w:szCs w:val="24"/>
        </w:rPr>
      </w:pPr>
      <w:r>
        <w:rPr>
          <w:rFonts w:ascii="Times New Roman" w:eastAsia="SimSun" w:hAnsi="Times New Roman" w:cs="Times New Roman" w:hint="default"/>
          <w:i w:val="0"/>
          <w:iCs w:val="0"/>
          <w:sz w:val="24"/>
          <w:szCs w:val="24"/>
          <w:lang w:val="en-US"/>
        </w:rPr>
        <w:t>While Civilian oversight board may not provide the proverbial magic bullet for all of the challenges of law enforcement, they can help in bringing a much need accountability and act as a deterrence to excessive use of force. Ethical oversight boards hold the promise of improving public safety and renewing public trust in the police force. Th</w:t>
      </w:r>
      <w:r>
        <w:rPr>
          <w:rFonts w:ascii="Times New Roman" w:eastAsia="SimSun" w:hAnsi="Times New Roman" w:cs="Times New Roman" w:hint="default"/>
          <w:sz w:val="24"/>
          <w:szCs w:val="24"/>
        </w:rPr>
        <w:t xml:space="preserve">e police </w:t>
      </w:r>
      <w:r>
        <w:rPr>
          <w:rFonts w:ascii="Times New Roman" w:eastAsia="SimSun" w:hAnsi="Times New Roman" w:cs="Times New Roman" w:hint="default"/>
          <w:sz w:val="24"/>
          <w:szCs w:val="24"/>
          <w:lang w:val="en-US"/>
        </w:rPr>
        <w:t>can now</w:t>
      </w:r>
      <w:r>
        <w:rPr>
          <w:rFonts w:ascii="Times New Roman" w:eastAsia="SimSun" w:hAnsi="Times New Roman" w:cs="Times New Roman" w:hint="default"/>
          <w:sz w:val="24"/>
          <w:szCs w:val="24"/>
        </w:rPr>
        <w:t xml:space="preserve"> have improved policies, procedures, and organizational cultures that are accepted by the communities they serve. </w:t>
      </w:r>
    </w:p>
    <w:p>
      <w:pPr>
        <w:spacing w:line="480" w:lineRule="auto"/>
        <w:ind w:left="420" w:firstLine="420" w:leftChars="0" w:firstLineChars="0"/>
        <w:rPr>
          <w:rFonts w:ascii="Times New Roman" w:eastAsia="SimSun" w:hAnsi="Times New Roman" w:cs="Times New Roman" w:hint="default"/>
          <w:sz w:val="24"/>
          <w:szCs w:val="24"/>
        </w:rPr>
      </w:pPr>
      <w:r>
        <w:rPr>
          <w:rFonts w:ascii="Times New Roman" w:eastAsia="SimSun" w:hAnsi="Times New Roman" w:cs="Times New Roman" w:hint="default"/>
          <w:sz w:val="24"/>
          <w:szCs w:val="24"/>
        </w:rPr>
        <w:br w:type="page"/>
      </w:r>
    </w:p>
    <w:p>
      <w:pPr>
        <w:spacing w:line="480" w:lineRule="auto"/>
        <w:jc w:val="center"/>
        <w:rPr>
          <w:rFonts w:ascii="Times New Roman" w:hAnsi="Times New Roman" w:cs="Times New Roman" w:hint="default"/>
          <w:sz w:val="24"/>
          <w:szCs w:val="24"/>
        </w:rPr>
      </w:pPr>
      <w:r>
        <w:rPr>
          <w:rFonts w:ascii="Times New Roman" w:hAnsi="Times New Roman" w:cs="Times New Roman" w:hint="default"/>
          <w:sz w:val="24"/>
          <w:szCs w:val="24"/>
        </w:rPr>
        <w:t>References</w:t>
      </w:r>
    </w:p>
    <w:p>
      <w:pPr>
        <w:spacing w:line="480" w:lineRule="auto"/>
        <w:jc w:val="left"/>
        <w:rPr>
          <w:rFonts w:ascii="Times New Roman" w:eastAsia="Times New Roman" w:hAnsi="Times New Roman" w:cs="Times New Roman" w:hint="default"/>
          <w:sz w:val="24"/>
          <w:szCs w:val="24"/>
          <w:lang w:val="en-US"/>
        </w:rPr>
      </w:pPr>
      <w:r>
        <w:rPr>
          <w:rFonts w:ascii="Times New Roman" w:eastAsia="Times New Roman" w:hAnsi="Times New Roman" w:cs="Times New Roman" w:hint="default"/>
          <w:sz w:val="24"/>
          <w:szCs w:val="24"/>
        </w:rPr>
        <w:t>Banks, C. (201</w:t>
      </w:r>
      <w:r>
        <w:rPr>
          <w:rFonts w:ascii="Times New Roman" w:eastAsia="Times New Roman" w:hAnsi="Times New Roman" w:cs="Times New Roman" w:hint="default"/>
          <w:sz w:val="24"/>
          <w:szCs w:val="24"/>
          <w:lang w:val="en-US"/>
        </w:rPr>
        <w:t>6</w:t>
      </w:r>
      <w:r>
        <w:rPr>
          <w:rFonts w:ascii="Times New Roman" w:eastAsia="Times New Roman" w:hAnsi="Times New Roman" w:cs="Times New Roman" w:hint="default"/>
          <w:sz w:val="24"/>
          <w:szCs w:val="24"/>
        </w:rPr>
        <w:t xml:space="preserve">). </w:t>
      </w:r>
      <w:r>
        <w:rPr>
          <w:rFonts w:ascii="Times New Roman" w:eastAsia="Times New Roman" w:hAnsi="Times New Roman" w:cs="Times New Roman" w:hint="default"/>
          <w:i/>
          <w:iCs/>
          <w:sz w:val="24"/>
          <w:szCs w:val="24"/>
        </w:rPr>
        <w:t>Criminal justice ethics: Theory and practice</w:t>
      </w:r>
      <w:r>
        <w:rPr>
          <w:rFonts w:ascii="Times New Roman" w:eastAsia="Times New Roman" w:hAnsi="Times New Roman" w:cs="Times New Roman" w:hint="default"/>
          <w:sz w:val="24"/>
          <w:szCs w:val="24"/>
        </w:rPr>
        <w:t xml:space="preserve">. </w:t>
      </w:r>
      <w:r>
        <w:rPr>
          <w:rFonts w:ascii="Times New Roman" w:eastAsia="Times New Roman" w:hAnsi="Times New Roman" w:cs="Times New Roman" w:hint="default"/>
          <w:sz w:val="24"/>
          <w:szCs w:val="24"/>
          <w:lang w:val="en-US"/>
        </w:rPr>
        <w:t xml:space="preserve"> </w:t>
      </w:r>
    </w:p>
    <w:p>
      <w:pPr>
        <w:spacing w:line="480" w:lineRule="auto"/>
        <w:ind w:firstLine="420" w:firstLineChars="0"/>
        <w:jc w:val="left"/>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Sage Publications.</w:t>
      </w:r>
      <w:r>
        <w:rPr>
          <w:rFonts w:ascii="Times New Roman" w:eastAsia="Times New Roman" w:hAnsi="Times New Roman" w:cs="Times New Roman" w:hint="default"/>
          <w:sz w:val="24"/>
          <w:szCs w:val="24"/>
          <w:lang w:val="en-US"/>
        </w:rPr>
        <w:t>4</w:t>
      </w:r>
      <w:r>
        <w:rPr>
          <w:rFonts w:ascii="Times New Roman" w:eastAsia="Times New Roman" w:hAnsi="Times New Roman" w:cs="Times New Roman" w:hint="default"/>
          <w:sz w:val="24"/>
          <w:szCs w:val="24"/>
          <w:vertAlign w:val="superscript"/>
          <w:lang w:val="en-US"/>
        </w:rPr>
        <w:t>th</w:t>
      </w:r>
      <w:r>
        <w:rPr>
          <w:rFonts w:ascii="Times New Roman" w:eastAsia="Times New Roman" w:hAnsi="Times New Roman" w:cs="Times New Roman" w:hint="default"/>
          <w:sz w:val="24"/>
          <w:szCs w:val="24"/>
          <w:lang w:val="en-US"/>
        </w:rPr>
        <w:t xml:space="preserve"> ed ISBN </w:t>
      </w:r>
      <w:r>
        <w:rPr>
          <w:rFonts w:ascii="Times New Roman" w:eastAsia="SimSun" w:hAnsi="Times New Roman" w:cs="Times New Roman" w:hint="default"/>
          <w:sz w:val="24"/>
          <w:szCs w:val="24"/>
        </w:rPr>
        <w:t>9781506326078</w:t>
      </w:r>
      <w:r>
        <w:rPr>
          <w:rFonts w:ascii="Times New Roman" w:eastAsia="SimSun" w:hAnsi="Times New Roman" w:cs="Times New Roman" w:hint="default"/>
          <w:sz w:val="24"/>
          <w:szCs w:val="24"/>
          <w:lang w:val="en-US"/>
        </w:rPr>
        <w:t xml:space="preserve"> </w:t>
      </w:r>
    </w:p>
    <w:p>
      <w:pPr>
        <w:spacing w:line="480" w:lineRule="auto"/>
        <w:jc w:val="left"/>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 xml:space="preserve">Hsia, R. P. C. (2015). The Catholic Historical Review: One Hundred Years of </w:t>
      </w:r>
      <w:r>
        <w:rPr>
          <w:rFonts w:ascii="Times New Roman" w:eastAsia="Times New Roman" w:hAnsi="Times New Roman" w:cs="Times New Roman" w:hint="default"/>
          <w:sz w:val="24"/>
          <w:szCs w:val="24"/>
          <w:lang w:val="en-US"/>
        </w:rPr>
        <w:tab/>
      </w:r>
      <w:r>
        <w:rPr>
          <w:rFonts w:ascii="Times New Roman" w:eastAsia="Times New Roman" w:hAnsi="Times New Roman" w:cs="Times New Roman" w:hint="default"/>
          <w:sz w:val="24"/>
          <w:szCs w:val="24"/>
          <w:lang w:val="en-US"/>
        </w:rPr>
        <w:tab/>
      </w:r>
      <w:r>
        <w:rPr>
          <w:rFonts w:ascii="Times New Roman" w:eastAsia="Times New Roman" w:hAnsi="Times New Roman" w:cs="Times New Roman" w:hint="default"/>
          <w:sz w:val="24"/>
          <w:szCs w:val="24"/>
        </w:rPr>
        <w:t xml:space="preserve">Scholarship on </w:t>
      </w:r>
      <w:r>
        <w:rPr>
          <w:rFonts w:ascii="Times New Roman" w:eastAsia="Times New Roman" w:hAnsi="Times New Roman" w:cs="Times New Roman" w:hint="default"/>
          <w:sz w:val="24"/>
          <w:szCs w:val="24"/>
          <w:lang w:val="en-US"/>
        </w:rPr>
        <w:tab/>
      </w:r>
      <w:r>
        <w:rPr>
          <w:rFonts w:ascii="Times New Roman" w:eastAsia="Times New Roman" w:hAnsi="Times New Roman" w:cs="Times New Roman" w:hint="default"/>
          <w:sz w:val="24"/>
          <w:szCs w:val="24"/>
        </w:rPr>
        <w:t xml:space="preserve">Catholic Missions in the Early Modern World. </w:t>
      </w:r>
      <w:r>
        <w:rPr>
          <w:rFonts w:ascii="Times New Roman" w:eastAsia="Times New Roman" w:hAnsi="Times New Roman" w:cs="Times New Roman" w:hint="default"/>
          <w:i/>
          <w:iCs/>
          <w:sz w:val="24"/>
          <w:szCs w:val="24"/>
        </w:rPr>
        <w:t xml:space="preserve">The Catholic </w:t>
      </w:r>
      <w:r>
        <w:rPr>
          <w:rFonts w:ascii="Times New Roman" w:eastAsia="Times New Roman" w:hAnsi="Times New Roman" w:cs="Times New Roman" w:hint="default"/>
          <w:i/>
          <w:iCs/>
          <w:sz w:val="24"/>
          <w:szCs w:val="24"/>
          <w:lang w:val="en-US"/>
        </w:rPr>
        <w:tab/>
      </w:r>
      <w:r>
        <w:rPr>
          <w:rFonts w:ascii="Times New Roman" w:eastAsia="Times New Roman" w:hAnsi="Times New Roman" w:cs="Times New Roman" w:hint="default"/>
          <w:i/>
          <w:iCs/>
          <w:sz w:val="24"/>
          <w:szCs w:val="24"/>
        </w:rPr>
        <w:t>Historical Review</w:t>
      </w:r>
      <w:r>
        <w:rPr>
          <w:rFonts w:ascii="Times New Roman" w:eastAsia="Times New Roman" w:hAnsi="Times New Roman" w:cs="Times New Roman" w:hint="default"/>
          <w:sz w:val="24"/>
          <w:szCs w:val="24"/>
        </w:rPr>
        <w:t xml:space="preserve">, </w:t>
      </w:r>
      <w:r>
        <w:rPr>
          <w:rFonts w:ascii="Times New Roman" w:eastAsia="Times New Roman" w:hAnsi="Times New Roman" w:cs="Times New Roman" w:hint="default"/>
          <w:i/>
          <w:iCs/>
          <w:sz w:val="24"/>
          <w:szCs w:val="24"/>
        </w:rPr>
        <w:t>101</w:t>
      </w:r>
      <w:r>
        <w:rPr>
          <w:rFonts w:ascii="Times New Roman" w:eastAsia="Times New Roman" w:hAnsi="Times New Roman" w:cs="Times New Roman" w:hint="default"/>
          <w:sz w:val="24"/>
          <w:szCs w:val="24"/>
        </w:rPr>
        <w:t>(2), 223-241.</w:t>
      </w:r>
    </w:p>
    <w:p>
      <w:pPr>
        <w:spacing w:line="480" w:lineRule="auto"/>
        <w:jc w:val="left"/>
        <w:rPr>
          <w:rFonts w:ascii="Times New Roman" w:eastAsia="Times New Roman" w:hAnsi="Times New Roman" w:cs="Times New Roman" w:hint="default"/>
          <w:sz w:val="24"/>
          <w:szCs w:val="24"/>
        </w:rPr>
      </w:pPr>
      <w:r>
        <w:rPr>
          <w:rFonts w:ascii="Times New Roman" w:eastAsia="Times New Roman" w:hAnsi="Times New Roman" w:cs="Times New Roman" w:hint="default"/>
          <w:sz w:val="24"/>
          <w:szCs w:val="24"/>
        </w:rPr>
        <w:t xml:space="preserve">Helme, </w:t>
      </w:r>
      <w:r>
        <w:rPr>
          <w:rFonts w:ascii="Times New Roman" w:eastAsia="Times New Roman" w:hAnsi="Times New Roman" w:cs="Times New Roman" w:hint="default"/>
          <w:sz w:val="24"/>
          <w:szCs w:val="24"/>
          <w:lang w:val="en-US"/>
        </w:rPr>
        <w:t>et.al</w:t>
      </w:r>
      <w:r>
        <w:rPr>
          <w:rFonts w:ascii="Times New Roman" w:eastAsia="Times New Roman" w:hAnsi="Times New Roman" w:cs="Times New Roman" w:hint="default"/>
          <w:sz w:val="24"/>
          <w:szCs w:val="24"/>
        </w:rPr>
        <w:t xml:space="preserve"> (2015). Civilian Oversight of Police the Canadian Experience. </w:t>
      </w:r>
      <w:r>
        <w:rPr>
          <w:rFonts w:ascii="Times New Roman" w:eastAsia="Times New Roman" w:hAnsi="Times New Roman" w:cs="Times New Roman" w:hint="default"/>
          <w:i/>
          <w:iCs/>
          <w:sz w:val="24"/>
          <w:szCs w:val="24"/>
        </w:rPr>
        <w:t xml:space="preserve">Curentul </w:t>
      </w:r>
      <w:r>
        <w:rPr>
          <w:rFonts w:ascii="Times New Roman" w:eastAsia="Times New Roman" w:hAnsi="Times New Roman" w:cs="Times New Roman" w:hint="default"/>
          <w:i/>
          <w:iCs/>
          <w:sz w:val="24"/>
          <w:szCs w:val="24"/>
          <w:lang w:val="en-US"/>
        </w:rPr>
        <w:tab/>
      </w:r>
      <w:r>
        <w:rPr>
          <w:rFonts w:ascii="Times New Roman" w:eastAsia="Times New Roman" w:hAnsi="Times New Roman" w:cs="Times New Roman" w:hint="default"/>
          <w:i/>
          <w:iCs/>
          <w:sz w:val="24"/>
          <w:szCs w:val="24"/>
        </w:rPr>
        <w:t xml:space="preserve">Juridic, the </w:t>
      </w:r>
      <w:r>
        <w:rPr>
          <w:rFonts w:ascii="Times New Roman" w:eastAsia="Times New Roman" w:hAnsi="Times New Roman" w:cs="Times New Roman" w:hint="default"/>
          <w:i/>
          <w:iCs/>
          <w:sz w:val="24"/>
          <w:szCs w:val="24"/>
          <w:lang w:val="en-US"/>
        </w:rPr>
        <w:tab/>
      </w:r>
      <w:r>
        <w:rPr>
          <w:rFonts w:ascii="Times New Roman" w:eastAsia="Times New Roman" w:hAnsi="Times New Roman" w:cs="Times New Roman" w:hint="default"/>
          <w:i/>
          <w:iCs/>
          <w:sz w:val="24"/>
          <w:szCs w:val="24"/>
          <w:lang w:val="en-US"/>
        </w:rPr>
        <w:tab/>
      </w:r>
      <w:r>
        <w:rPr>
          <w:rFonts w:ascii="Times New Roman" w:eastAsia="Times New Roman" w:hAnsi="Times New Roman" w:cs="Times New Roman" w:hint="default"/>
          <w:i/>
          <w:iCs/>
          <w:sz w:val="24"/>
          <w:szCs w:val="24"/>
        </w:rPr>
        <w:t>Juridical Current, Le Courant Juridique</w:t>
      </w:r>
      <w:r>
        <w:rPr>
          <w:rFonts w:ascii="Times New Roman" w:eastAsia="Times New Roman" w:hAnsi="Times New Roman" w:cs="Times New Roman" w:hint="default"/>
          <w:sz w:val="24"/>
          <w:szCs w:val="24"/>
        </w:rPr>
        <w:t xml:space="preserve">, </w:t>
      </w:r>
      <w:r>
        <w:rPr>
          <w:rFonts w:ascii="Times New Roman" w:eastAsia="Times New Roman" w:hAnsi="Times New Roman" w:cs="Times New Roman" w:hint="default"/>
          <w:i/>
          <w:iCs/>
          <w:sz w:val="24"/>
          <w:szCs w:val="24"/>
        </w:rPr>
        <w:t>60</w:t>
      </w:r>
      <w:r>
        <w:rPr>
          <w:rFonts w:ascii="Times New Roman" w:eastAsia="Times New Roman" w:hAnsi="Times New Roman" w:cs="Times New Roman" w:hint="default"/>
          <w:sz w:val="24"/>
          <w:szCs w:val="24"/>
        </w:rPr>
        <w:t>, 13-18.</w:t>
      </w:r>
    </w:p>
    <w:p>
      <w:pPr>
        <w:spacing w:line="480" w:lineRule="auto"/>
        <w:jc w:val="left"/>
        <w:rPr>
          <w:rFonts w:ascii="Times New Roman" w:eastAsia="SimSun" w:hAnsi="Times New Roman" w:cs="Times New Roman" w:hint="default"/>
          <w:sz w:val="24"/>
          <w:szCs w:val="24"/>
        </w:rPr>
      </w:pPr>
      <w:r>
        <w:rPr>
          <w:rFonts w:ascii="Times New Roman" w:eastAsia="Times New Roman" w:hAnsi="Times New Roman" w:cs="Times New Roman" w:hint="default"/>
          <w:sz w:val="24"/>
          <w:szCs w:val="24"/>
        </w:rPr>
        <w:t xml:space="preserve">Wilson, S. (2014). Civilian Review Boards. </w:t>
      </w:r>
      <w:r>
        <w:rPr>
          <w:rFonts w:ascii="Times New Roman" w:eastAsia="Times New Roman" w:hAnsi="Times New Roman" w:cs="Times New Roman" w:hint="default"/>
          <w:i/>
          <w:iCs/>
          <w:sz w:val="24"/>
          <w:szCs w:val="24"/>
        </w:rPr>
        <w:t xml:space="preserve">The </w:t>
      </w:r>
      <w:r>
        <w:rPr>
          <w:rFonts w:ascii="Times New Roman" w:eastAsia="Times New Roman" w:hAnsi="Times New Roman" w:cs="Times New Roman" w:hint="default"/>
          <w:i/>
          <w:iCs/>
          <w:sz w:val="24"/>
          <w:szCs w:val="24"/>
          <w:lang w:val="en-US"/>
        </w:rPr>
        <w:t>Encyclopaedia</w:t>
      </w:r>
      <w:r>
        <w:rPr>
          <w:rFonts w:ascii="Times New Roman" w:eastAsia="Times New Roman" w:hAnsi="Times New Roman" w:cs="Times New Roman" w:hint="default"/>
          <w:i/>
          <w:iCs/>
          <w:sz w:val="24"/>
          <w:szCs w:val="24"/>
        </w:rPr>
        <w:t xml:space="preserve"> of Criminology and </w:t>
      </w:r>
      <w:r>
        <w:rPr>
          <w:rFonts w:ascii="Times New Roman" w:eastAsia="Times New Roman" w:hAnsi="Times New Roman" w:cs="Times New Roman" w:hint="default"/>
          <w:i/>
          <w:iCs/>
          <w:sz w:val="24"/>
          <w:szCs w:val="24"/>
          <w:lang w:val="en-US"/>
        </w:rPr>
        <w:tab/>
      </w:r>
      <w:r>
        <w:rPr>
          <w:rFonts w:ascii="Times New Roman" w:eastAsia="Times New Roman" w:hAnsi="Times New Roman" w:cs="Times New Roman" w:hint="default"/>
          <w:i/>
          <w:iCs/>
          <w:sz w:val="24"/>
          <w:szCs w:val="24"/>
        </w:rPr>
        <w:t>Criminal</w:t>
      </w:r>
      <w:r>
        <w:rPr>
          <w:rFonts w:ascii="Times New Roman" w:eastAsia="Times New Roman" w:hAnsi="Times New Roman" w:cs="Times New Roman" w:hint="default"/>
          <w:i/>
          <w:iCs/>
          <w:sz w:val="24"/>
          <w:szCs w:val="24"/>
          <w:lang w:val="en-US"/>
        </w:rPr>
        <w:t xml:space="preserve"> </w:t>
      </w:r>
      <w:r>
        <w:rPr>
          <w:rFonts w:ascii="Times New Roman" w:eastAsia="Times New Roman" w:hAnsi="Times New Roman" w:cs="Times New Roman" w:hint="default"/>
          <w:i/>
          <w:iCs/>
          <w:sz w:val="24"/>
          <w:szCs w:val="24"/>
          <w:lang w:val="en-US"/>
        </w:rPr>
        <w:tab/>
      </w:r>
      <w:r>
        <w:rPr>
          <w:rFonts w:ascii="Times New Roman" w:eastAsia="Times New Roman" w:hAnsi="Times New Roman" w:cs="Times New Roman" w:hint="default"/>
          <w:i/>
          <w:iCs/>
          <w:sz w:val="24"/>
          <w:szCs w:val="24"/>
        </w:rPr>
        <w:t>Justice</w:t>
      </w:r>
      <w:r>
        <w:rPr>
          <w:rFonts w:ascii="Times New Roman" w:eastAsia="Times New Roman" w:hAnsi="Times New Roman" w:cs="Times New Roman" w:hint="default"/>
          <w:sz w:val="24"/>
          <w:szCs w:val="24"/>
        </w:rPr>
        <w:t>.</w:t>
      </w:r>
      <w:r>
        <w:rPr>
          <w:rFonts w:ascii="Times New Roman" w:eastAsia="Times New Roman" w:hAnsi="Times New Roman" w:cs="Times New Roman" w:hint="default"/>
          <w:sz w:val="24"/>
          <w:szCs w:val="24"/>
          <w:lang w:val="en-US"/>
        </w:rPr>
        <w:t xml:space="preserve"> </w:t>
      </w:r>
      <w:r>
        <w:rPr>
          <w:rFonts w:ascii="Times New Roman" w:eastAsia="SimSun" w:hAnsi="Times New Roman" w:cs="Times New Roman" w:hint="default"/>
          <w:sz w:val="24"/>
          <w:szCs w:val="24"/>
        </w:rPr>
        <w:t> Online ISBN: 9781118517383|</w:t>
      </w:r>
    </w:p>
    <w:p>
      <w:pPr>
        <w:spacing w:line="480" w:lineRule="auto"/>
        <w:ind w:firstLine="420" w:firstLineChars="0"/>
        <w:jc w:val="left"/>
        <w:rPr>
          <w:rFonts w:ascii="Times New Roman" w:eastAsia="Times New Roman" w:hAnsi="Times New Roman" w:cs="Times New Roman" w:hint="default"/>
          <w:sz w:val="24"/>
          <w:szCs w:val="24"/>
          <w:lang w:val="en-US"/>
        </w:rPr>
      </w:pPr>
      <w:r>
        <w:rPr>
          <w:rFonts w:ascii="Times New Roman" w:eastAsia="SimSun" w:hAnsi="Times New Roman" w:cs="Times New Roman" w:hint="default"/>
          <w:sz w:val="24"/>
          <w:szCs w:val="24"/>
          <w:lang w:val="en-US"/>
        </w:rPr>
        <w:t>Retrieved from:</w:t>
      </w:r>
      <w:r>
        <w:rPr>
          <w:rFonts w:ascii="Times New Roman" w:eastAsia="SimSun" w:hAnsi="Times New Roman" w:cs="Times New Roman" w:hint="default"/>
          <w:sz w:val="24"/>
          <w:szCs w:val="24"/>
        </w:rPr>
        <w:t> </w:t>
      </w:r>
      <w:hyperlink r:id="rId7" w:history="1">
        <w:r>
          <w:rPr>
            <w:rStyle w:val="Hyperlink"/>
            <w:rFonts w:ascii="Times New Roman" w:eastAsia="SimSun" w:hAnsi="Times New Roman" w:cs="Times New Roman" w:hint="default"/>
            <w:sz w:val="24"/>
            <w:szCs w:val="24"/>
            <w:lang w:val="en-US"/>
          </w:rPr>
          <w:t>http://doi.</w:t>
        </w:r>
        <w:r>
          <w:rPr>
            <w:rStyle w:val="Hyperlink"/>
            <w:rFonts w:ascii="Times New Roman" w:eastAsia="SimSun" w:hAnsi="Times New Roman" w:cs="Times New Roman" w:hint="default"/>
            <w:sz w:val="24"/>
            <w:szCs w:val="24"/>
          </w:rPr>
          <w:t>10.1002/9781118517383</w:t>
        </w:r>
      </w:hyperlink>
      <w:r>
        <w:rPr>
          <w:rFonts w:ascii="Times New Roman" w:eastAsia="SimSun" w:hAnsi="Times New Roman" w:cs="Times New Roman" w:hint="default"/>
          <w:sz w:val="24"/>
          <w:szCs w:val="24"/>
          <w:lang w:val="en-US"/>
        </w:rPr>
        <w:t xml:space="preserve"> [Accessed at 29/11/2018] </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spacing w:line="480" w:lineRule="auto"/>
        <w:ind w:left="420" w:firstLine="420" w:leftChars="0" w:firstLineChars="0"/>
        <w:rPr>
          <w:rFonts w:ascii="Times New Roman" w:eastAsia="SimSun" w:hAnsi="Times New Roman" w:cs="Times New Roman" w:hint="default"/>
          <w:sz w:val="24"/>
          <w:szCs w:val="24"/>
          <w:lang w:val="en-US"/>
        </w:rPr>
      </w:pPr>
    </w:p>
    <w:p>
      <w:pPr>
        <w:spacing w:line="480" w:lineRule="auto"/>
        <w:ind w:left="420" w:firstLine="420" w:leftChars="0" w:firstLineChars="0"/>
        <w:rPr>
          <w:rFonts w:ascii="Times New Roman" w:eastAsia="SimSun" w:hAnsi="Times New Roman" w:cs="Times New Roman" w:hint="default"/>
          <w:i w:val="0"/>
          <w:iCs w:val="0"/>
          <w:sz w:val="24"/>
          <w:szCs w:val="24"/>
          <w:lang w:val="en-US"/>
        </w:rPr>
      </w:pPr>
    </w:p>
    <w:p>
      <w:pPr>
        <w:spacing w:line="480" w:lineRule="auto"/>
        <w:ind w:left="420" w:firstLine="420" w:leftChars="0" w:firstLineChars="0"/>
        <w:rPr>
          <w:rFonts w:ascii="Times New Roman" w:eastAsia="SimSun" w:hAnsi="Times New Roman" w:cs="Times New Roman" w:hint="default"/>
          <w:i w:val="0"/>
          <w:iCs w:val="0"/>
          <w:sz w:val="24"/>
          <w:szCs w:val="24"/>
          <w:lang w:val="en-US"/>
        </w:rPr>
      </w:pPr>
    </w:p>
    <w:p>
      <w:pPr>
        <w:spacing w:line="480" w:lineRule="auto"/>
        <w:ind w:left="420" w:firstLine="420" w:leftChars="0" w:firstLineChars="0"/>
        <w:rPr>
          <w:rFonts w:ascii="Times New Roman" w:eastAsia="SimSun" w:hAnsi="Times New Roman" w:cs="Times New Roman" w:hint="default"/>
          <w:i w:val="0"/>
          <w:iCs w:val="0"/>
          <w:sz w:val="24"/>
          <w:szCs w:val="24"/>
          <w:lang w:val="en-US"/>
        </w:rPr>
      </w:pPr>
    </w:p>
    <w:p>
      <w:pPr>
        <w:spacing w:line="480" w:lineRule="auto"/>
        <w:ind w:left="420" w:firstLine="420" w:leftChars="0" w:firstLineChars="0"/>
        <w:rPr>
          <w:rFonts w:ascii="Times New Roman" w:eastAsia="SimSun" w:hAnsi="Times New Roman" w:cs="Times New Roman" w:hint="default"/>
          <w:i w:val="0"/>
          <w:iCs w:val="0"/>
          <w:sz w:val="24"/>
          <w:szCs w:val="24"/>
          <w:lang w:val="en-US"/>
        </w:rPr>
      </w:pPr>
    </w:p>
    <w:p>
      <w:pPr>
        <w:spacing w:line="480" w:lineRule="auto"/>
        <w:ind w:left="420" w:firstLine="420" w:leftChars="0" w:firstLineChars="0"/>
        <w:rPr>
          <w:rFonts w:ascii="Times New Roman" w:eastAsia="SimSun" w:hAnsi="Times New Roman" w:cs="Times New Roman" w:hint="default"/>
          <w:sz w:val="24"/>
          <w:szCs w:val="24"/>
          <w:lang w:val="en-US"/>
        </w:rPr>
      </w:pPr>
    </w:p>
    <w:p>
      <w:pPr>
        <w:spacing w:line="480" w:lineRule="auto"/>
        <w:ind w:left="420" w:firstLine="420" w:leftChars="0" w:firstLineChars="0"/>
        <w:rPr>
          <w:rFonts w:ascii="Times New Roman" w:eastAsia="SimSun" w:hAnsi="Times New Roman" w:cs="Times New Roman" w:hint="default"/>
          <w:sz w:val="24"/>
          <w:szCs w:val="24"/>
          <w:lang w:val="en-US"/>
        </w:rPr>
      </w:pPr>
    </w:p>
    <w:sectPr>
      <w:pgSz w:w="11906" w:h="16838"/>
      <w:pgMar w:top="1440" w:right="1440" w:bottom="1440" w:left="1440" w:header="720" w:footer="720" w:gutter="0"/>
      <w:pgNumType w:fmt="decimal"/>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02FF" w:usb1="4000ACFF" w:usb2="00000001" w:usb3="00000000" w:csb0="2004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rPr>
        <w:rFonts w:ascii="Times New Roman" w:hAnsi="Times New Roman" w:cs="Times New Roman" w:hint="default"/>
        <w:sz w:val="24"/>
        <w:szCs w:val="24"/>
        <w:lang w:val="en-US"/>
      </w:rP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Header"/>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0" type="#_x0000_t202" style="width:2in;height:2in;margin-top:0;margin-left:0;mso-height-relative:page;mso-position-horizontal:right;mso-position-horizontal-relative:margin;mso-width-relative:page;mso-wrap-style:none;position:absolute;z-index:251659264" coordsize="21600,21600" filled="f" stroked="f">
              <o:lock v:ext="edit" aspectratio="f"/>
              <v:textbox style="mso-fit-shape-to-text:t" inset="0,0,0,0">
                <w:txbxContent>
                  <w:p>
                    <w:pPr>
                      <w:pStyle w:val="Header"/>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v:textbox>
              <w10:wrap anchorx="margin"/>
            </v:shape>
          </w:pict>
        </mc:Fallback>
      </mc:AlternateContent>
    </w:r>
    <w:r>
      <w:rPr>
        <w:rFonts w:ascii="Times New Roman" w:hAnsi="Times New Roman" w:cs="Times New Roman" w:hint="default"/>
        <w:sz w:val="24"/>
        <w:szCs w:val="24"/>
        <w:lang w:val="en-US"/>
      </w:rPr>
      <w:t>CIVILIAN REVIEW BOARDS AND ETHICAL OVERSIGHT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rPr>
        <w:rFonts w:ascii="Times New Roman" w:hAnsi="Times New Roman" w:cs="Times New Roman" w:hint="default"/>
        <w:sz w:val="24"/>
        <w:szCs w:val="24"/>
        <w:lang w:val="en-US"/>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Header"/>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right;mso-position-horizontal-relative:margin;mso-width-relative:page;mso-wrap-style:none;position:absolute;z-index:251661312" coordsize="21600,21600" filled="f" stroked="f">
              <o:lock v:ext="edit" aspectratio="f"/>
              <v:textbox style="mso-fit-shape-to-text:t" inset="0,0,0,0">
                <w:txbxContent>
                  <w:p>
                    <w:pPr>
                      <w:pStyle w:val="Header"/>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w10:wrap anchorx="margin"/>
            </v:shape>
          </w:pict>
        </mc:Fallback>
      </mc:AlternateContent>
    </w:r>
    <w:r>
      <w:rPr>
        <w:rFonts w:ascii="Times New Roman" w:hAnsi="Times New Roman" w:cs="Times New Roman" w:hint="default"/>
        <w:sz w:val="24"/>
        <w:szCs w:val="24"/>
        <w:lang w:val="en-US"/>
      </w:rPr>
      <w:t>Running head: CIVILIAN REVIEW BOARDS AND ETHICAL OVERSIGHT</w:t>
    </w:r>
  </w:p>
  <w:p>
    <w:pPr>
      <w:pStyle w:val="Header"/>
      <w:pBdr>
        <w:bottom w:val="none" w:sz="0" w:space="0" w:color="auto"/>
      </w:pBdr>
      <w:rPr>
        <w:rFonts w:ascii="Times New Roman" w:hAnsi="Times New Roman" w:cs="Times New Roman" w:hint="default"/>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D384C"/>
    <w:rsid w:val="04E27656"/>
    <w:rsid w:val="092363B9"/>
    <w:rsid w:val="0DA06AC6"/>
    <w:rsid w:val="2E74234C"/>
    <w:rsid w:val="2F5F1D92"/>
    <w:rsid w:val="39FE1B57"/>
    <w:rsid w:val="424B5069"/>
    <w:rsid w:val="472B1091"/>
    <w:rsid w:val="4C593046"/>
    <w:rsid w:val="4E993099"/>
    <w:rsid w:val="580C325D"/>
    <w:rsid w:val="5CE31025"/>
    <w:rsid w:val="622D384C"/>
    <w:rsid w:val="7BAD76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Theme="minorHAnsi" w:eastAsiaTheme="minorEastAsia" w:hAnsiTheme="minorHAnsi" w:cstheme="minorBidi"/>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uiPriority w:val="99"/>
    <w:unhideWhenUsed/>
    <w:qFormat/>
    <w:pPr>
      <w:tabs>
        <w:tab w:val="center" w:pos="4680"/>
        <w:tab w:val="right" w:pos="9360"/>
      </w:tabs>
      <w:spacing w:line="240" w:lineRule="auto"/>
    </w:pPr>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yperlink" Target="http://doi.10.1002/9781118517383"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Muthomi</cp:lastModifiedBy>
  <cp:revision>1</cp:revision>
  <dcterms:created xsi:type="dcterms:W3CDTF">2018-11-28T18:46:00Z</dcterms:created>
  <dcterms:modified xsi:type="dcterms:W3CDTF">2018-11-29T13:51:03Z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2057-10.2.0.7516</vt:lpwstr>
  </property>
</Properties>
</file>